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864"/>
          <w:sz w:val="36"/>
        </w:rPr>
        <w:t>Minuta de ato normativo</w:t>
      </w:r>
    </w:p>
    <w:p>
      <w:pPr>
        <w:spacing w:after="200"/>
      </w:pPr>
      <w:r>
        <w:rPr>
          <w:color w:val="404040"/>
          <w:sz w:val="21"/>
        </w:rPr>
        <w:t>Institui o programa de capacitação cidadã para o controle social · modelo para o órgão adaptar</w:t>
      </w:r>
    </w:p>
    <w:tbl>
      <w:tblPr>
        <w:tblStyle w:val="TableGrid"/>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9638"/>
      </w:tblGrid>
      <w:tr>
        <w:tc>
          <w:tcPr>
            <w:tcW w:type="dxa" w:w="9638"/>
            <w:shd w:val="clear" w:color="auto" w:fill="EDF1F7"/>
          </w:tcPr>
          <w:p>
            <w:pPr>
              <w:spacing w:after="40"/>
            </w:pPr>
            <w:r/>
            <w:r>
              <w:rPr>
                <w:b/>
                <w:color w:val="1F3864"/>
                <w:sz w:val="21"/>
              </w:rPr>
              <w:t>Esta minuta é um modelo.</w:t>
            </w:r>
            <w:r>
              <w:rPr>
                <w:color w:val="1F3864"/>
                <w:sz w:val="21"/>
              </w:rPr>
              <w:t xml:space="preserve"> Adapte-a à legislação local e às normas internas do seu órgão ou ente e revise-a com a assessoria jurídica ou a procuradoria antes de publicar.</w:t>
            </w:r>
          </w:p>
        </w:tc>
      </w:tr>
    </w:tbl>
    <w:p>
      <w:pPr>
        <w:spacing w:after="0" w:before="0"/>
      </w:pPr>
      <w:r>
        <w:rPr>
          <w:sz w:val="12"/>
        </w:rPr>
      </w:r>
    </w:p>
    <w:tbl>
      <w:tblPr>
        <w:tblStyle w:val="TableGrid"/>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9638"/>
      </w:tblGrid>
      <w:tr>
        <w:tc>
          <w:tcPr>
            <w:tcW w:type="dxa" w:w="9638"/>
            <w:shd w:val="clear" w:color="auto" w:fill="F2F2F2"/>
          </w:tcPr>
          <w:p>
            <w:pPr>
              <w:spacing w:after="40"/>
            </w:pPr>
            <w:r/>
            <w:r>
              <w:rPr>
                <w:b/>
                <w:color w:val="1F3864"/>
                <w:sz w:val="21"/>
              </w:rPr>
              <w:t>Nota explicativa · como adaptar esta minuta</w:t>
            </w:r>
          </w:p>
          <w:p>
            <w:pPr>
              <w:spacing w:after="40"/>
              <w:ind w:left="170"/>
            </w:pPr>
            <w:r>
              <w:rPr>
                <w:color w:val="404040"/>
                <w:sz w:val="20"/>
              </w:rPr>
              <w:t xml:space="preserve">• </w:t>
            </w:r>
            <w:r>
              <w:rPr>
                <w:b/>
                <w:color w:val="404040"/>
                <w:sz w:val="20"/>
              </w:rPr>
              <w:t>Escolha o instrumento conforme a competência:</w:t>
            </w:r>
            <w:r>
              <w:rPr>
                <w:color w:val="404040"/>
                <w:sz w:val="20"/>
              </w:rPr>
              <w:t xml:space="preserve"> decreto do chefe do Executivo, portaria do dirigente do órgão, ou resolução (ou ato equivalente) em tribunais, casas legislativas e conselhos.</w:t>
            </w:r>
          </w:p>
          <w:p>
            <w:pPr>
              <w:spacing w:after="40"/>
              <w:ind w:left="170"/>
            </w:pPr>
            <w:r>
              <w:rPr>
                <w:color w:val="404040"/>
                <w:sz w:val="20"/>
              </w:rPr>
              <w:t xml:space="preserve">• </w:t>
            </w:r>
            <w:r>
              <w:rPr>
                <w:color w:val="404040"/>
                <w:sz w:val="20"/>
              </w:rPr>
              <w:t xml:space="preserve">Troque o que está </w:t>
            </w:r>
            <w:r>
              <w:rPr>
                <w:b/>
                <w:sz w:val="20"/>
                <w:highlight w:val="yellow"/>
              </w:rPr>
              <w:t>[entre colchetes]</w:t>
            </w:r>
            <w:r>
              <w:rPr>
                <w:color w:val="404040"/>
                <w:sz w:val="20"/>
              </w:rPr>
              <w:t xml:space="preserve">. Onde houver opções separadas por barra, como </w:t>
            </w:r>
            <w:r>
              <w:rPr>
                <w:b/>
                <w:sz w:val="20"/>
                <w:highlight w:val="yellow"/>
              </w:rPr>
              <w:t>[Ouvidoria / Escola de Governo / Controladoria]</w:t>
            </w:r>
            <w:r>
              <w:rPr>
                <w:color w:val="404040"/>
                <w:sz w:val="20"/>
              </w:rPr>
              <w:t>, fique com uma e apague as outras.</w:t>
            </w:r>
          </w:p>
          <w:p>
            <w:pPr>
              <w:spacing w:after="40"/>
              <w:ind w:left="170"/>
            </w:pPr>
            <w:r>
              <w:rPr>
                <w:color w:val="404040"/>
                <w:sz w:val="20"/>
              </w:rPr>
              <w:t xml:space="preserve">• </w:t>
            </w:r>
            <w:r>
              <w:rPr>
                <w:color w:val="404040"/>
                <w:sz w:val="20"/>
              </w:rPr>
              <w:t xml:space="preserve">Um programa que organiza atividades do próprio órgão costuma poder ser instituído por ato infralegal. Se a sua versão criar cargos, gratificações, despesas novas ou obrigações para terceiros, pode ser preciso lei. </w:t>
            </w:r>
            <w:r>
              <w:rPr>
                <w:b/>
                <w:color w:val="404040"/>
                <w:sz w:val="20"/>
              </w:rPr>
              <w:t>Confira com a assessoria jurídica ou a procuradoria antes de publicar.</w:t>
            </w:r>
          </w:p>
          <w:p>
            <w:pPr>
              <w:spacing w:after="40"/>
              <w:ind w:left="170"/>
            </w:pPr>
            <w:r>
              <w:rPr>
                <w:color w:val="404040"/>
                <w:sz w:val="20"/>
              </w:rPr>
              <w:t xml:space="preserve">• </w:t>
            </w:r>
            <w:r>
              <w:rPr>
                <w:color w:val="404040"/>
                <w:sz w:val="20"/>
              </w:rPr>
              <w:t>Os fundamentos citados nos considerandos foram conferidos no texto oficial em outubro de 2026. Confira se continuam vigentes na data da publicação.</w:t>
            </w:r>
          </w:p>
          <w:p>
            <w:pPr>
              <w:spacing w:after="40"/>
              <w:ind w:left="170"/>
            </w:pPr>
            <w:r>
              <w:rPr>
                <w:color w:val="404040"/>
                <w:sz w:val="20"/>
              </w:rPr>
              <w:t xml:space="preserve">• </w:t>
            </w:r>
            <w:r>
              <w:rPr>
                <w:color w:val="404040"/>
                <w:sz w:val="20"/>
              </w:rPr>
              <w:t>Antes de publicar, apague esta nota, o quadro de escolhas, o cabeçalho e o rodapé deste modelo.</w:t>
            </w:r>
          </w:p>
        </w:tc>
      </w:tr>
    </w:tbl>
    <w:p>
      <w:pPr>
        <w:spacing w:after="0" w:before="0"/>
      </w:pPr>
      <w:r>
        <w:rPr>
          <w:sz w:val="12"/>
        </w:rPr>
      </w:r>
    </w:p>
    <w:p>
      <w:pPr>
        <w:pStyle w:val="Heading2"/>
      </w:pPr>
      <w:r>
        <w:t>O que você precisa escolher</w:t>
      </w:r>
    </w:p>
    <w:tbl>
      <w:tblPr>
        <w:tblStyle w:val="TableGrid"/>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4819"/>
        <w:gridCol w:w="4819"/>
      </w:tblGrid>
      <w:tr>
        <w:trPr>
          <w:tblHeader/>
        </w:trPr>
        <w:tc>
          <w:tcPr>
            <w:tcW w:type="dxa" w:w="2268"/>
            <w:shd w:val="clear" w:color="auto" w:fill="1F3864"/>
          </w:tcPr>
          <w:p>
            <w:pPr>
              <w:keepNext/>
              <w:spacing w:after="40"/>
            </w:pPr>
            <w:r/>
            <w:r>
              <w:rPr>
                <w:b/>
                <w:color w:val="FFFFFF"/>
                <w:sz w:val="19"/>
              </w:rPr>
              <w:t>Item</w:t>
            </w:r>
          </w:p>
        </w:tc>
        <w:tc>
          <w:tcPr>
            <w:tcW w:type="dxa" w:w="7370"/>
            <w:shd w:val="clear" w:color="auto" w:fill="1F3864"/>
          </w:tcPr>
          <w:p>
            <w:pPr>
              <w:keepNext/>
              <w:spacing w:after="40"/>
            </w:pPr>
            <w:r/>
            <w:r>
              <w:rPr>
                <w:b/>
                <w:color w:val="FFFFFF"/>
                <w:sz w:val="19"/>
              </w:rPr>
              <w:t>Opções e cuidados</w:t>
            </w:r>
          </w:p>
        </w:tc>
      </w:tr>
      <w:tr>
        <w:trPr>
          <w:cantSplit/>
        </w:trPr>
        <w:tc>
          <w:tcPr>
            <w:tcW w:type="dxa" w:w="2268"/>
            <w:shd w:val="clear" w:color="auto" w:fill="EDF1F7"/>
          </w:tcPr>
          <w:p>
            <w:pPr>
              <w:spacing w:after="40"/>
            </w:pPr>
            <w:r/>
            <w:r>
              <w:rPr>
                <w:b/>
                <w:sz w:val="19"/>
              </w:rPr>
              <w:t>Instrumento</w:t>
            </w:r>
          </w:p>
        </w:tc>
        <w:tc>
          <w:tcPr>
            <w:tcW w:type="dxa" w:w="7370"/>
          </w:tcPr>
          <w:p>
            <w:pPr>
              <w:spacing w:after="40"/>
            </w:pPr>
            <w:r/>
            <w:r>
              <w:rPr>
                <w:b/>
                <w:sz w:val="19"/>
                <w:highlight w:val="yellow"/>
              </w:rPr>
              <w:t>[Decreto]</w:t>
            </w:r>
            <w:r>
              <w:rPr>
                <w:color w:val="404040"/>
                <w:sz w:val="19"/>
              </w:rPr>
              <w:t xml:space="preserve"> do chefe do Executivo, se o programa abrange vários órgãos do Executivo; </w:t>
            </w:r>
            <w:r>
              <w:rPr>
                <w:b/>
                <w:sz w:val="19"/>
                <w:highlight w:val="yellow"/>
              </w:rPr>
              <w:t>[Portaria]</w:t>
            </w:r>
            <w:r>
              <w:rPr>
                <w:color w:val="404040"/>
                <w:sz w:val="19"/>
              </w:rPr>
              <w:t xml:space="preserve"> do dirigente, se fica restrito a um órgão; </w:t>
            </w:r>
            <w:r>
              <w:rPr>
                <w:b/>
                <w:sz w:val="19"/>
                <w:highlight w:val="yellow"/>
              </w:rPr>
              <w:t>[Resolução]</w:t>
            </w:r>
            <w:r>
              <w:rPr>
                <w:color w:val="404040"/>
                <w:sz w:val="19"/>
              </w:rPr>
              <w:t xml:space="preserve"> ou </w:t>
            </w:r>
            <w:r>
              <w:rPr>
                <w:b/>
                <w:sz w:val="19"/>
                <w:highlight w:val="yellow"/>
              </w:rPr>
              <w:t>[Ato da Mesa]</w:t>
            </w:r>
            <w:r>
              <w:rPr>
                <w:color w:val="404040"/>
                <w:sz w:val="19"/>
              </w:rPr>
              <w:t>, em tribunais, casas legislativas e conselhos. Siga a competência do seu ente.</w:t>
            </w:r>
          </w:p>
        </w:tc>
      </w:tr>
      <w:tr>
        <w:trPr>
          <w:cantSplit/>
        </w:trPr>
        <w:tc>
          <w:tcPr>
            <w:tcW w:type="dxa" w:w="2268"/>
            <w:shd w:val="clear" w:color="auto" w:fill="EDF1F7"/>
          </w:tcPr>
          <w:p>
            <w:pPr>
              <w:spacing w:after="40"/>
            </w:pPr>
            <w:r/>
            <w:r>
              <w:rPr>
                <w:b/>
                <w:sz w:val="19"/>
              </w:rPr>
              <w:t>Nome do programa</w:t>
            </w:r>
          </w:p>
        </w:tc>
        <w:tc>
          <w:tcPr>
            <w:tcW w:type="dxa" w:w="7370"/>
          </w:tcPr>
          <w:p>
            <w:pPr>
              <w:spacing w:after="40"/>
            </w:pPr>
            <w:r/>
            <w:r>
              <w:rPr>
                <w:color w:val="404040"/>
                <w:sz w:val="19"/>
              </w:rPr>
              <w:t>Escolha um nome institucional, sem referência à gestão ou a pessoas.</w:t>
            </w:r>
          </w:p>
        </w:tc>
      </w:tr>
      <w:tr>
        <w:trPr>
          <w:cantSplit/>
        </w:trPr>
        <w:tc>
          <w:tcPr>
            <w:tcW w:type="dxa" w:w="2268"/>
            <w:shd w:val="clear" w:color="auto" w:fill="EDF1F7"/>
          </w:tcPr>
          <w:p>
            <w:pPr>
              <w:spacing w:after="40"/>
            </w:pPr>
            <w:r/>
            <w:r>
              <w:rPr>
                <w:b/>
                <w:sz w:val="19"/>
              </w:rPr>
              <w:t>Unidade coordenadora</w:t>
            </w:r>
          </w:p>
        </w:tc>
        <w:tc>
          <w:tcPr>
            <w:tcW w:type="dxa" w:w="7370"/>
          </w:tcPr>
          <w:p>
            <w:pPr>
              <w:spacing w:after="40"/>
            </w:pPr>
            <w:r/>
            <w:r>
              <w:rPr>
                <w:b/>
                <w:sz w:val="19"/>
                <w:highlight w:val="yellow"/>
              </w:rPr>
              <w:t>[Ouvidoria]</w:t>
            </w:r>
            <w:r>
              <w:rPr>
                <w:color w:val="404040"/>
                <w:sz w:val="19"/>
              </w:rPr>
              <w:t xml:space="preserve">, </w:t>
            </w:r>
            <w:r>
              <w:rPr>
                <w:b/>
                <w:sz w:val="19"/>
                <w:highlight w:val="yellow"/>
              </w:rPr>
              <w:t>[Escola de Governo]</w:t>
            </w:r>
            <w:r>
              <w:rPr>
                <w:color w:val="404040"/>
                <w:sz w:val="19"/>
              </w:rPr>
              <w:t xml:space="preserve"> ou </w:t>
            </w:r>
            <w:r>
              <w:rPr>
                <w:b/>
                <w:sz w:val="19"/>
                <w:highlight w:val="yellow"/>
              </w:rPr>
              <w:t>[Controladoria]</w:t>
            </w:r>
            <w:r>
              <w:rPr>
                <w:color w:val="404040"/>
                <w:sz w:val="19"/>
              </w:rPr>
              <w:t xml:space="preserve"> (art. 5º).</w:t>
            </w:r>
          </w:p>
        </w:tc>
      </w:tr>
      <w:tr>
        <w:trPr>
          <w:cantSplit/>
        </w:trPr>
        <w:tc>
          <w:tcPr>
            <w:tcW w:type="dxa" w:w="2268"/>
            <w:shd w:val="clear" w:color="auto" w:fill="EDF1F7"/>
          </w:tcPr>
          <w:p>
            <w:pPr>
              <w:spacing w:after="40"/>
            </w:pPr>
            <w:r/>
            <w:r>
              <w:rPr>
                <w:b/>
                <w:sz w:val="19"/>
              </w:rPr>
              <w:t>Lei 14.129/2021</w:t>
            </w:r>
          </w:p>
        </w:tc>
        <w:tc>
          <w:tcPr>
            <w:tcW w:type="dxa" w:w="7370"/>
          </w:tcPr>
          <w:p>
            <w:pPr>
              <w:spacing w:after="40"/>
            </w:pPr>
            <w:r/>
            <w:r>
              <w:rPr>
                <w:color w:val="404040"/>
                <w:sz w:val="19"/>
              </w:rPr>
              <w:t>O considerando entre colchetes só vale se o seu ente adotou a lei por ato próprio (art. 2º, III, da lei). Se não adotou, apague.</w:t>
            </w:r>
          </w:p>
        </w:tc>
      </w:tr>
      <w:tr>
        <w:trPr>
          <w:cantSplit/>
        </w:trPr>
        <w:tc>
          <w:tcPr>
            <w:tcW w:type="dxa" w:w="2268"/>
            <w:shd w:val="clear" w:color="auto" w:fill="EDF1F7"/>
          </w:tcPr>
          <w:p>
            <w:pPr>
              <w:spacing w:after="40"/>
            </w:pPr>
            <w:r/>
            <w:r>
              <w:rPr>
                <w:b/>
                <w:sz w:val="19"/>
              </w:rPr>
              <w:t>Prazos e números</w:t>
            </w:r>
          </w:p>
        </w:tc>
        <w:tc>
          <w:tcPr>
            <w:tcW w:type="dxa" w:w="7370"/>
          </w:tcPr>
          <w:p>
            <w:pPr>
              <w:spacing w:after="40"/>
            </w:pPr>
            <w:r/>
            <w:r>
              <w:rPr>
                <w:color w:val="404040"/>
                <w:sz w:val="19"/>
              </w:rPr>
              <w:t>Frequência mínima, prazo de guarda dos dados, mês do relatório e prazo da regulamentação.</w:t>
            </w:r>
          </w:p>
        </w:tc>
      </w:tr>
      <w:tr>
        <w:trPr>
          <w:cantSplit/>
        </w:trPr>
        <w:tc>
          <w:tcPr>
            <w:tcW w:type="dxa" w:w="2268"/>
            <w:shd w:val="clear" w:color="auto" w:fill="EDF1F7"/>
          </w:tcPr>
          <w:p>
            <w:pPr>
              <w:spacing w:after="40"/>
            </w:pPr>
            <w:r/>
            <w:r>
              <w:rPr>
                <w:b/>
                <w:sz w:val="19"/>
              </w:rPr>
              <w:t>Preâmbulo</w:t>
            </w:r>
          </w:p>
        </w:tc>
        <w:tc>
          <w:tcPr>
            <w:tcW w:type="dxa" w:w="7370"/>
          </w:tcPr>
          <w:p>
            <w:pPr>
              <w:spacing w:after="40"/>
            </w:pPr>
            <w:r/>
            <w:r>
              <w:rPr>
                <w:color w:val="404040"/>
                <w:sz w:val="19"/>
              </w:rPr>
              <w:t>Cite o dispositivo da Lei Orgânica, da Constituição Estadual ou do regimento que dá a competência à autoridade que assina.</w:t>
            </w:r>
          </w:p>
        </w:tc>
      </w:tr>
    </w:tbl>
    <w:p>
      <w:pPr>
        <w:spacing w:after="0" w:before="0"/>
      </w:pPr>
      <w:r>
        <w:rPr>
          <w:sz w:val="8"/>
        </w:rPr>
      </w:r>
    </w:p>
    <w:p>
      <w:pPr>
        <w:spacing w:after="0"/>
      </w:pPr>
      <w:r>
        <w:br w:type="page"/>
      </w:r>
    </w:p>
    <w:p>
      <w:pPr>
        <w:spacing w:after="240"/>
        <w:jc w:val="center"/>
      </w:pPr>
      <w:r>
        <w:rPr>
          <w:b/>
          <w:highlight w:val="yellow"/>
        </w:rPr>
        <w:t>[DECRETO / PORTARIA / RESOLUÇÃO]</w:t>
      </w:r>
      <w:r>
        <w:rPr>
          <w:b/>
        </w:rPr>
        <w:t xml:space="preserve"> Nº </w:t>
      </w:r>
      <w:r>
        <w:rPr>
          <w:b/>
          <w:highlight w:val="yellow"/>
        </w:rPr>
        <w:t>[número]</w:t>
      </w:r>
      <w:r>
        <w:rPr>
          <w:b/>
        </w:rPr>
        <w:t xml:space="preserve">, DE </w:t>
      </w:r>
      <w:r>
        <w:rPr>
          <w:b/>
          <w:highlight w:val="yellow"/>
        </w:rPr>
        <w:t>[dia]</w:t>
      </w:r>
      <w:r>
        <w:rPr>
          <w:b/>
        </w:rPr>
        <w:t xml:space="preserve"> DE </w:t>
      </w:r>
      <w:r>
        <w:rPr>
          <w:b/>
          <w:highlight w:val="yellow"/>
        </w:rPr>
        <w:t>[mês]</w:t>
      </w:r>
      <w:r>
        <w:rPr>
          <w:b/>
        </w:rPr>
        <w:t xml:space="preserve"> DE </w:t>
      </w:r>
      <w:r>
        <w:rPr>
          <w:b/>
          <w:highlight w:val="yellow"/>
        </w:rPr>
        <w:t>[ano]</w:t>
      </w:r>
    </w:p>
    <w:p>
      <w:pPr>
        <w:spacing w:after="240"/>
        <w:ind w:left="4535"/>
        <w:jc w:val="both"/>
      </w:pPr>
      <w:r>
        <w:rPr>
          <w:i/>
        </w:rPr>
        <w:t xml:space="preserve">Institui o Programa </w:t>
      </w:r>
      <w:r>
        <w:rPr>
          <w:b/>
          <w:i/>
          <w:highlight w:val="yellow"/>
        </w:rPr>
        <w:t>[Nome]</w:t>
      </w:r>
      <w:r>
        <w:rPr>
          <w:i/>
        </w:rPr>
        <w:t xml:space="preserve"> de Capacitação Cidadã para o Controle Social, no âmbito de </w:t>
      </w:r>
      <w:r>
        <w:rPr>
          <w:b/>
          <w:i/>
          <w:highlight w:val="yellow"/>
        </w:rPr>
        <w:t>[órgão/ente]</w:t>
      </w:r>
      <w:r>
        <w:rPr>
          <w:i/>
        </w:rPr>
        <w:t>, e dá outras providências.</w:t>
      </w:r>
    </w:p>
    <w:p>
      <w:pPr>
        <w:ind w:firstLine="709"/>
        <w:jc w:val="both"/>
      </w:pPr>
      <w:r>
        <w:t xml:space="preserve">O(A) </w:t>
      </w:r>
      <w:r>
        <w:rPr>
          <w:b/>
          <w:highlight w:val="yellow"/>
        </w:rPr>
        <w:t>[cargo da autoridade competente]</w:t>
      </w:r>
      <w:r>
        <w:t xml:space="preserve"> do(a) </w:t>
      </w:r>
      <w:r>
        <w:rPr>
          <w:b/>
          <w:highlight w:val="yellow"/>
        </w:rPr>
        <w:t>[órgão/ente]</w:t>
      </w:r>
      <w:r>
        <w:t xml:space="preserve">, no uso das atribuições que lhe confere </w:t>
      </w:r>
      <w:r>
        <w:rPr>
          <w:b/>
          <w:highlight w:val="yellow"/>
        </w:rPr>
        <w:t>[o art. nº da Lei Orgânica / da Constituição Estadual / do Regimento Interno]</w:t>
      </w:r>
      <w:r>
        <w:t>, e</w:t>
      </w:r>
    </w:p>
    <w:p>
      <w:pPr>
        <w:ind w:firstLine="709"/>
        <w:jc w:val="both"/>
      </w:pPr>
      <w:r>
        <w:t>CONSIDERANDO que a administração pública obedece ao princípio da impessoalidade e que a publicidade dos programas dos órgãos públicos deve ter caráter educativo, informativo ou de orientação social, dela não podendo constar nomes, símbolos ou imagens que caracterizem promoção pessoal de autoridades ou servidores públicos, nos termos do art. 37, caput e § 1º, da Constituição Federal;</w:t>
      </w:r>
    </w:p>
    <w:p>
      <w:pPr>
        <w:ind w:firstLine="709"/>
        <w:jc w:val="both"/>
      </w:pPr>
      <w:r>
        <w:t>CONSIDERANDO que a educação, direito de todos e dever do Estado, será promovida e incentivada com a colaboração da sociedade, visando ao preparo da pessoa para o exercício da cidadania, nos termos do art. 205 da Constituição Federal;</w:t>
      </w:r>
    </w:p>
    <w:p>
      <w:pPr>
        <w:ind w:firstLine="709"/>
        <w:jc w:val="both"/>
      </w:pPr>
      <w:r>
        <w:t>CONSIDERANDO que qualquer cidadão, partido político, associação ou sindicato é parte legítima para denunciar irregularidades ou ilegalidades perante o Tribunal de Contas, nos termos do art. 74, § 2º, combinado com o art. 75 da Constituição Federal;</w:t>
      </w:r>
    </w:p>
    <w:p>
      <w:pPr>
        <w:ind w:firstLine="709"/>
        <w:jc w:val="both"/>
      </w:pPr>
      <w:r>
        <w:t>CONSIDERANDO que o fomento ao desenvolvimento da cultura de transparência e o desenvolvimento do controle social da administração pública são diretrizes da Lei nº 12.527, de 18 de novembro de 2011 (art. 3º, IV e V);</w:t>
      </w:r>
    </w:p>
    <w:p>
      <w:pPr>
        <w:ind w:firstLine="709"/>
        <w:jc w:val="both"/>
      </w:pPr>
      <w:r>
        <w:t>CONSIDERANDO que a transparência da gestão fiscal é assegurada também mediante o incentivo à participação popular e a realização de audiências públicas durante os processos de elaboração e discussão dos planos, da lei de diretrizes orçamentárias e dos orçamentos, nos termos do art. 48, § 1º, I, da Lei Complementar nº 101, de 4 de maio de 2000;</w:t>
      </w:r>
    </w:p>
    <w:p>
      <w:pPr>
        <w:ind w:firstLine="709"/>
        <w:jc w:val="both"/>
      </w:pPr>
      <w:r>
        <w:t>CONSIDERANDO que cabe às ouvidorias promover a participação do usuário na administração pública e que a participação dos usuários no acompanhamento e na avaliação dos serviços públicos se faz também por meio de conselhos de usuários, nos termos dos arts. 13, I, e 18 da Lei nº 13.460, de 26 de junho de 2017;</w:t>
      </w:r>
    </w:p>
    <w:p>
      <w:pPr>
        <w:ind w:firstLine="709"/>
        <w:jc w:val="both"/>
      </w:pPr>
      <w:r>
        <w:rPr>
          <w:b/>
          <w:highlight w:val="yellow"/>
        </w:rPr>
        <w:t>[Só se o ente adotou a Lei 14.129/2021; se não adotou, apague este parágrafo:]</w:t>
      </w:r>
      <w:r>
        <w:t xml:space="preserve"> CONSIDERANDO que o incentivo à participação social no controle e na fiscalização da administração pública e o estímulo a ações educativas para a inclusão digital da população são princípios e diretrizes do Governo Digital, nos termos do art. 3º, V e XX, da Lei nº 14.129, de 29 de março de 2021, adotada no âmbito de </w:t>
      </w:r>
      <w:r>
        <w:rPr>
          <w:b/>
          <w:highlight w:val="yellow"/>
        </w:rPr>
        <w:t>[ente]</w:t>
      </w:r>
      <w:r>
        <w:t xml:space="preserve"> pelo(a) </w:t>
      </w:r>
      <w:r>
        <w:rPr>
          <w:b/>
          <w:highlight w:val="yellow"/>
        </w:rPr>
        <w:t>[ato que adotou a lei]</w:t>
      </w:r>
      <w:r>
        <w:t>;</w:t>
      </w:r>
    </w:p>
    <w:p>
      <w:pPr>
        <w:ind w:firstLine="709"/>
        <w:jc w:val="both"/>
      </w:pPr>
      <w:r>
        <w:t>CONSIDERANDO que o tratamento de dados pessoais pelo poder público deve atender à sua finalidade pública, na persecução do interesse público, nos termos do art. 23 da Lei nº 13.709, de 14 de agosto de 2018;</w:t>
      </w:r>
    </w:p>
    <w:p>
      <w:pPr>
        <w:spacing w:after="200"/>
      </w:pPr>
      <w:r>
        <w:rPr>
          <w:b/>
          <w:highlight w:val="yellow"/>
        </w:rPr>
        <w:t>[DECRETA / RESOLVE]</w:t>
      </w:r>
      <w:r>
        <w:rPr>
          <w:b/>
        </w:rPr>
        <w:t>:</w:t>
      </w:r>
    </w:p>
    <w:p>
      <w:pPr>
        <w:keepNext/>
        <w:spacing w:after="0" w:before="240"/>
        <w:jc w:val="center"/>
      </w:pPr>
      <w:r>
        <w:rPr>
          <w:b/>
        </w:rPr>
        <w:t>CAPÍTULO I</w:t>
      </w:r>
    </w:p>
    <w:p>
      <w:pPr>
        <w:keepNext/>
        <w:spacing w:after="160" w:before="0"/>
        <w:jc w:val="center"/>
      </w:pPr>
      <w:r>
        <w:rPr>
          <w:b/>
        </w:rPr>
        <w:t>DISPOSIÇÕES GERAIS</w:t>
      </w:r>
    </w:p>
    <w:p>
      <w:pPr>
        <w:ind w:firstLine="709"/>
        <w:jc w:val="both"/>
      </w:pPr>
      <w:r>
        <w:rPr>
          <w:b/>
        </w:rPr>
        <w:t xml:space="preserve">Art. 1º </w:t>
      </w:r>
      <w:r>
        <w:t xml:space="preserve">Fica instituído o Programa </w:t>
      </w:r>
      <w:r>
        <w:rPr>
          <w:b/>
          <w:highlight w:val="yellow"/>
        </w:rPr>
        <w:t>[Nome]</w:t>
      </w:r>
      <w:r>
        <w:t xml:space="preserve"> de Capacitação Cidadã para o Controle Social, no âmbito de </w:t>
      </w:r>
      <w:r>
        <w:rPr>
          <w:b/>
          <w:highlight w:val="yellow"/>
        </w:rPr>
        <w:t>[órgão/ente]</w:t>
      </w:r>
      <w:r>
        <w:t>, com a finalidade de preparar cidadãos para acompanhar, fiscalizar e avaliar a gestão pública e os serviços públicos, por meio de ações educativas gratuitas.</w:t>
      </w:r>
    </w:p>
    <w:p>
      <w:pPr>
        <w:ind w:firstLine="709"/>
        <w:jc w:val="both"/>
      </w:pPr>
      <w:r>
        <w:rPr>
          <w:b/>
        </w:rPr>
        <w:t xml:space="preserve">Parágrafo único. </w:t>
      </w:r>
      <w:r>
        <w:t xml:space="preserve">Para os fins deste </w:t>
      </w:r>
      <w:r>
        <w:rPr>
          <w:b/>
          <w:highlight w:val="yellow"/>
        </w:rPr>
        <w:t>[Decreto / Portaria / Resolução]</w:t>
      </w:r>
      <w:r>
        <w:t>, considera-se:</w:t>
      </w:r>
    </w:p>
    <w:p>
      <w:pPr>
        <w:ind w:firstLine="709"/>
        <w:jc w:val="both"/>
      </w:pPr>
      <w:r>
        <w:t>I - controle social: o acompanhamento, a fiscalização e a avaliação da gestão pública pela sociedade, de forma individual ou organizada;</w:t>
      </w:r>
    </w:p>
    <w:p>
      <w:pPr>
        <w:ind w:firstLine="709"/>
        <w:jc w:val="both"/>
      </w:pPr>
      <w:r>
        <w:t>II - ação real de controle social: atividade concreta realizada pelo participante ao final de cada curso, como acompanhar uma despesa no portal da transparência, apresentar pedido de acesso à informação, registrar manifestação na ouvidoria ou participar de reunião de conselho;</w:t>
      </w:r>
    </w:p>
    <w:p>
      <w:pPr>
        <w:ind w:firstLine="709"/>
        <w:jc w:val="both"/>
      </w:pPr>
      <w:r>
        <w:t>III - multiplicador: servidor ou cidadão que concluiu um curso do Programa e foi preparado para conduzir turmas.</w:t>
      </w:r>
    </w:p>
    <w:p>
      <w:pPr>
        <w:ind w:firstLine="709"/>
        <w:jc w:val="both"/>
      </w:pPr>
      <w:r>
        <w:rPr>
          <w:b/>
        </w:rPr>
        <w:t xml:space="preserve">Art. 2º </w:t>
      </w:r>
      <w:r>
        <w:t>São objetivos do Programa:</w:t>
      </w:r>
    </w:p>
    <w:p>
      <w:pPr>
        <w:ind w:firstLine="709"/>
        <w:jc w:val="both"/>
      </w:pPr>
      <w:r>
        <w:t>I - ampliar o conhecimento da população sobre orçamento, despesa pública, transparência, acesso à informação, ouvidoria, conselhos e canais de denúncia;</w:t>
      </w:r>
    </w:p>
    <w:p>
      <w:pPr>
        <w:ind w:firstLine="709"/>
        <w:jc w:val="both"/>
      </w:pPr>
      <w:r>
        <w:t>II - qualificar a atuação de conselheiros de políticas públicas e de conselhos de usuários;</w:t>
      </w:r>
    </w:p>
    <w:p>
      <w:pPr>
        <w:ind w:firstLine="709"/>
        <w:jc w:val="both"/>
      </w:pPr>
      <w:r>
        <w:t>III - incentivar a participação popular nas audiências públicas e nas demais instâncias de participação;</w:t>
      </w:r>
    </w:p>
    <w:p>
      <w:pPr>
        <w:ind w:firstLine="709"/>
        <w:jc w:val="both"/>
      </w:pPr>
      <w:r>
        <w:t>IV - estimular o uso correto e qualificado dos canais de acesso à informação, de ouvidoria e de denúncia;</w:t>
      </w:r>
    </w:p>
    <w:p>
      <w:pPr>
        <w:ind w:firstLine="709"/>
        <w:jc w:val="both"/>
      </w:pPr>
      <w:r>
        <w:t>V - promover a inclusão digital da população no acesso a informações e serviços públicos;</w:t>
      </w:r>
    </w:p>
    <w:p>
      <w:pPr>
        <w:ind w:firstLine="709"/>
        <w:jc w:val="both"/>
      </w:pPr>
      <w:r>
        <w:t>VI - formar multiplicadores; e</w:t>
      </w:r>
    </w:p>
    <w:p>
      <w:pPr>
        <w:ind w:firstLine="709"/>
        <w:jc w:val="both"/>
      </w:pPr>
      <w:r>
        <w:t xml:space="preserve">VII - fortalecer a cultura de transparência no </w:t>
      </w:r>
      <w:r>
        <w:rPr>
          <w:b/>
          <w:highlight w:val="yellow"/>
        </w:rPr>
        <w:t>[órgão/ente]</w:t>
      </w:r>
      <w:r>
        <w:t>.</w:t>
      </w:r>
    </w:p>
    <w:p>
      <w:pPr>
        <w:ind w:firstLine="709"/>
        <w:jc w:val="both"/>
      </w:pPr>
      <w:r>
        <w:rPr>
          <w:b/>
        </w:rPr>
        <w:t xml:space="preserve">Art. 3º </w:t>
      </w:r>
      <w:r>
        <w:t>São diretrizes do Programa:</w:t>
      </w:r>
    </w:p>
    <w:p>
      <w:pPr>
        <w:ind w:firstLine="709"/>
        <w:jc w:val="both"/>
      </w:pPr>
      <w:r>
        <w:t>I - gratuidade para os participantes;</w:t>
      </w:r>
    </w:p>
    <w:p>
      <w:pPr>
        <w:ind w:firstLine="709"/>
        <w:jc w:val="both"/>
      </w:pPr>
      <w:r>
        <w:t>II - linguagem simples, clara e acessível;</w:t>
      </w:r>
    </w:p>
    <w:p>
      <w:pPr>
        <w:ind w:firstLine="709"/>
        <w:jc w:val="both"/>
      </w:pPr>
      <w:r>
        <w:t>III - apartidarismo e impessoalidade;</w:t>
      </w:r>
    </w:p>
    <w:p>
      <w:pPr>
        <w:ind w:firstLine="709"/>
        <w:jc w:val="both"/>
      </w:pPr>
      <w:r>
        <w:t>IV - acessibilidade, com atenção às pessoas com deficiência e às pessoas com pouca familiaridade digital;</w:t>
      </w:r>
    </w:p>
    <w:p>
      <w:pPr>
        <w:ind w:firstLine="709"/>
        <w:jc w:val="both"/>
      </w:pPr>
      <w:r>
        <w:t>V - proteção dos dados pessoais dos participantes;</w:t>
      </w:r>
    </w:p>
    <w:p>
      <w:pPr>
        <w:ind w:firstLine="709"/>
        <w:jc w:val="both"/>
      </w:pPr>
      <w:r>
        <w:t>VI - aprender fazendo, com uma ação real de controle social ao final de cada curso;</w:t>
      </w:r>
    </w:p>
    <w:p>
      <w:pPr>
        <w:ind w:firstLine="709"/>
        <w:jc w:val="both"/>
      </w:pPr>
      <w:r>
        <w:t>VII - transparência dos resultados, com publicação periódica de dados agregados; e</w:t>
      </w:r>
    </w:p>
    <w:p>
      <w:pPr>
        <w:ind w:firstLine="709"/>
        <w:jc w:val="both"/>
      </w:pPr>
      <w:r>
        <w:t>VIII - cooperação com instituições públicas, de ensino e da sociedade civil.</w:t>
      </w:r>
    </w:p>
    <w:p>
      <w:pPr>
        <w:ind w:firstLine="709"/>
        <w:jc w:val="both"/>
      </w:pPr>
      <w:r>
        <w:rPr>
          <w:b/>
        </w:rPr>
        <w:t xml:space="preserve">Art. 4º </w:t>
      </w:r>
      <w:r>
        <w:t>O Programa destina-se a qualquer pessoa interessada, com prioridade para:</w:t>
      </w:r>
    </w:p>
    <w:p>
      <w:pPr>
        <w:ind w:firstLine="709"/>
        <w:jc w:val="both"/>
      </w:pPr>
      <w:r>
        <w:t>I - conselheiros de políticas públicas e de conselhos de usuários de serviços públicos;</w:t>
      </w:r>
    </w:p>
    <w:p>
      <w:pPr>
        <w:ind w:firstLine="709"/>
        <w:jc w:val="both"/>
      </w:pPr>
      <w:r>
        <w:t>II - lideranças comunitárias e integrantes de associações e organizações da sociedade civil;</w:t>
      </w:r>
    </w:p>
    <w:p>
      <w:pPr>
        <w:ind w:firstLine="709"/>
        <w:jc w:val="both"/>
      </w:pPr>
      <w:r>
        <w:t>III - estudantes e professores;</w:t>
      </w:r>
    </w:p>
    <w:p>
      <w:pPr>
        <w:ind w:firstLine="709"/>
        <w:jc w:val="both"/>
      </w:pPr>
      <w:r>
        <w:t>IV - usuários dos serviços públicos; e</w:t>
      </w:r>
    </w:p>
    <w:p>
      <w:pPr>
        <w:ind w:firstLine="709"/>
        <w:jc w:val="both"/>
      </w:pPr>
      <w:r>
        <w:t>V - servidores públicos que atuarão como multiplicadores.</w:t>
      </w:r>
    </w:p>
    <w:p>
      <w:pPr>
        <w:ind w:firstLine="709"/>
        <w:jc w:val="both"/>
      </w:pPr>
      <w:r>
        <w:rPr>
          <w:b/>
        </w:rPr>
        <w:t xml:space="preserve">Parágrafo único. </w:t>
      </w:r>
      <w:r>
        <w:t>O plano anual de que trata o art. 6º, II, definirá os públicos atendidos a cada ano.</w:t>
      </w:r>
    </w:p>
    <w:p>
      <w:pPr>
        <w:keepNext/>
        <w:spacing w:after="0" w:before="240"/>
        <w:jc w:val="center"/>
      </w:pPr>
      <w:r>
        <w:rPr>
          <w:b/>
        </w:rPr>
        <w:t>CAPÍTULO II</w:t>
      </w:r>
    </w:p>
    <w:p>
      <w:pPr>
        <w:keepNext/>
        <w:spacing w:after="160" w:before="0"/>
        <w:jc w:val="center"/>
      </w:pPr>
      <w:r>
        <w:rPr>
          <w:b/>
        </w:rPr>
        <w:t>DA COORDENAÇÃO E DAS UNIDADES PARTICIPANTES</w:t>
      </w:r>
    </w:p>
    <w:p>
      <w:pPr>
        <w:ind w:firstLine="709"/>
        <w:jc w:val="both"/>
      </w:pPr>
      <w:r>
        <w:rPr>
          <w:b/>
        </w:rPr>
        <w:t xml:space="preserve">Art. 5º </w:t>
      </w:r>
      <w:r>
        <w:t xml:space="preserve">O Programa será coordenado pela </w:t>
      </w:r>
      <w:r>
        <w:rPr>
          <w:b/>
          <w:highlight w:val="yellow"/>
        </w:rPr>
        <w:t>[Ouvidoria / Escola de Governo / Controladoria]</w:t>
      </w:r>
      <w:r>
        <w:t xml:space="preserve"> do(a) </w:t>
      </w:r>
      <w:r>
        <w:rPr>
          <w:b/>
          <w:highlight w:val="yellow"/>
        </w:rPr>
        <w:t>[órgão/ente]</w:t>
      </w:r>
      <w:r>
        <w:t>.</w:t>
      </w:r>
    </w:p>
    <w:p>
      <w:pPr>
        <w:ind w:firstLine="709"/>
        <w:jc w:val="both"/>
      </w:pPr>
      <w:r>
        <w:rPr>
          <w:b/>
        </w:rPr>
        <w:t xml:space="preserve">Art. 6º </w:t>
      </w:r>
      <w:r>
        <w:t>Compete à unidade coordenadora:</w:t>
      </w:r>
    </w:p>
    <w:p>
      <w:pPr>
        <w:ind w:firstLine="709"/>
        <w:jc w:val="both"/>
      </w:pPr>
      <w:r>
        <w:t>I - planejar, executar e avaliar o Programa;</w:t>
      </w:r>
    </w:p>
    <w:p>
      <w:pPr>
        <w:ind w:firstLine="709"/>
        <w:jc w:val="both"/>
      </w:pPr>
      <w:r>
        <w:t>II - elaborar o plano anual, com públicos, metas, calendário e parcerias;</w:t>
      </w:r>
    </w:p>
    <w:p>
      <w:pPr>
        <w:ind w:firstLine="709"/>
        <w:jc w:val="both"/>
      </w:pPr>
      <w:r>
        <w:t>III - selecionar os conteúdos, organizar as turmas e as inscrições e emitir os certificados;</w:t>
      </w:r>
    </w:p>
    <w:p>
      <w:pPr>
        <w:ind w:firstLine="709"/>
        <w:jc w:val="both"/>
      </w:pPr>
      <w:r>
        <w:t>IV - articular as unidades participantes e os parceiros;</w:t>
      </w:r>
    </w:p>
    <w:p>
      <w:pPr>
        <w:ind w:firstLine="709"/>
        <w:jc w:val="both"/>
      </w:pPr>
      <w:r>
        <w:t>V - acompanhar os indicadores e elaborar o relatório anual de resultados; e</w:t>
      </w:r>
    </w:p>
    <w:p>
      <w:pPr>
        <w:ind w:firstLine="709"/>
        <w:jc w:val="both"/>
      </w:pPr>
      <w:r>
        <w:t>VI - zelar pela observância das diretrizes do art. 3º.</w:t>
      </w:r>
    </w:p>
    <w:p>
      <w:pPr>
        <w:ind w:firstLine="709"/>
        <w:jc w:val="both"/>
      </w:pPr>
      <w:r>
        <w:rPr>
          <w:b/>
        </w:rPr>
        <w:t xml:space="preserve">Art. 7º </w:t>
      </w:r>
      <w:r>
        <w:t xml:space="preserve">Participarão do Programa, no âmbito de suas competências, </w:t>
      </w:r>
      <w:r>
        <w:rPr>
          <w:b/>
          <w:highlight w:val="yellow"/>
        </w:rPr>
        <w:t>[a Escola de Governo, a Assessoria de Comunicação, a unidade de tecnologia da informação, a Secretaria de Educação, a Secretaria de Assistência Social e outras unidades indicadas]</w:t>
      </w:r>
      <w:r>
        <w:t>.</w:t>
      </w:r>
    </w:p>
    <w:p>
      <w:pPr>
        <w:ind w:firstLine="709"/>
        <w:jc w:val="both"/>
      </w:pPr>
      <w:r>
        <w:rPr>
          <w:b/>
        </w:rPr>
        <w:t xml:space="preserve">Parágrafo único. </w:t>
      </w:r>
      <w:r>
        <w:t xml:space="preserve">A equipe do Programa, com coordenação, apoio técnico da plataforma, facilitadores e comunicação, será designada por </w:t>
      </w:r>
      <w:r>
        <w:rPr>
          <w:b/>
          <w:highlight w:val="yellow"/>
        </w:rPr>
        <w:t>[ato do titular do órgão / portaria]</w:t>
      </w:r>
      <w:r>
        <w:t>, sem prejuízo das atribuições regulares dos designados.</w:t>
      </w:r>
    </w:p>
    <w:p>
      <w:pPr>
        <w:keepNext/>
        <w:spacing w:after="0" w:before="240"/>
        <w:jc w:val="center"/>
      </w:pPr>
      <w:r>
        <w:rPr>
          <w:b/>
        </w:rPr>
        <w:t>CAPÍTULO III</w:t>
      </w:r>
    </w:p>
    <w:p>
      <w:pPr>
        <w:keepNext/>
        <w:spacing w:after="160" w:before="0"/>
        <w:jc w:val="center"/>
      </w:pPr>
      <w:r>
        <w:rPr>
          <w:b/>
        </w:rPr>
        <w:t>DAS AÇÕES, DOS CONTEÚDOS E DAS PARCERIAS</w:t>
      </w:r>
    </w:p>
    <w:p>
      <w:pPr>
        <w:ind w:firstLine="709"/>
        <w:jc w:val="both"/>
      </w:pPr>
      <w:r>
        <w:rPr>
          <w:b/>
        </w:rPr>
        <w:t xml:space="preserve">Art. 8º </w:t>
      </w:r>
      <w:r>
        <w:t>O Programa será executado por meio de:</w:t>
      </w:r>
    </w:p>
    <w:p>
      <w:pPr>
        <w:ind w:firstLine="709"/>
        <w:jc w:val="both"/>
      </w:pPr>
      <w:r>
        <w:t xml:space="preserve">I - cursos a distância, oferecidos na plataforma de ensino </w:t>
      </w:r>
      <w:r>
        <w:rPr>
          <w:b/>
          <w:highlight w:val="yellow"/>
        </w:rPr>
        <w:t>[nome ou endereço da plataforma]</w:t>
      </w:r>
      <w:r>
        <w:t>;</w:t>
      </w:r>
    </w:p>
    <w:p>
      <w:pPr>
        <w:ind w:firstLine="709"/>
        <w:jc w:val="both"/>
      </w:pPr>
      <w:r>
        <w:t>II - turmas presenciais, com atividades práticas, em escolas, equipamentos públicos, associações e outros locais acessíveis;</w:t>
      </w:r>
    </w:p>
    <w:p>
      <w:pPr>
        <w:ind w:firstLine="709"/>
        <w:jc w:val="both"/>
      </w:pPr>
      <w:r>
        <w:t>III - formação de multiplicadores;</w:t>
      </w:r>
    </w:p>
    <w:p>
      <w:pPr>
        <w:ind w:firstLine="709"/>
        <w:jc w:val="both"/>
      </w:pPr>
      <w:r>
        <w:t xml:space="preserve">IV - versão para escolas, ligada à educação fiscal, em articulação com a </w:t>
      </w:r>
      <w:r>
        <w:rPr>
          <w:b/>
          <w:highlight w:val="yellow"/>
        </w:rPr>
        <w:t>[Secretaria de Educação / rede de ensino]</w:t>
      </w:r>
      <w:r>
        <w:t>; e</w:t>
      </w:r>
    </w:p>
    <w:p>
      <w:pPr>
        <w:ind w:firstLine="709"/>
        <w:jc w:val="both"/>
      </w:pPr>
      <w:r>
        <w:t xml:space="preserve">V - </w:t>
      </w:r>
      <w:r>
        <w:rPr>
          <w:b/>
          <w:highlight w:val="yellow"/>
        </w:rPr>
        <w:t>[outras ações, como oficinas antes das audiências públicas do orçamento]</w:t>
      </w:r>
      <w:r>
        <w:t>.</w:t>
      </w:r>
    </w:p>
    <w:p>
      <w:pPr>
        <w:ind w:firstLine="709"/>
        <w:jc w:val="both"/>
      </w:pPr>
      <w:r>
        <w:rPr>
          <w:b/>
        </w:rPr>
        <w:t xml:space="preserve">Art. 9º </w:t>
      </w:r>
      <w:r>
        <w:t>Os conteúdos do Programa poderão ser próprios, licenciados ou de outras instituições, desde que:</w:t>
      </w:r>
    </w:p>
    <w:p>
      <w:pPr>
        <w:ind w:firstLine="709"/>
        <w:jc w:val="both"/>
      </w:pPr>
      <w:r>
        <w:t>I - observem as diretrizes do art. 3º;</w:t>
      </w:r>
    </w:p>
    <w:p>
      <w:pPr>
        <w:ind w:firstLine="709"/>
        <w:jc w:val="both"/>
      </w:pPr>
      <w:r>
        <w:t>II - estejam atualizados em relação à legislação vigente;</w:t>
      </w:r>
    </w:p>
    <w:p>
      <w:pPr>
        <w:ind w:firstLine="709"/>
        <w:jc w:val="both"/>
      </w:pPr>
      <w:r>
        <w:t>III - terminem com uma ação real de controle social; e</w:t>
      </w:r>
    </w:p>
    <w:p>
      <w:pPr>
        <w:ind w:firstLine="709"/>
        <w:jc w:val="both"/>
      </w:pPr>
      <w:r>
        <w:t>IV - respeitem as condições de uso e os direitos autorais de cada conteúdo.</w:t>
      </w:r>
    </w:p>
    <w:p>
      <w:pPr>
        <w:ind w:firstLine="709"/>
        <w:jc w:val="both"/>
      </w:pPr>
      <w:r>
        <w:rPr>
          <w:b/>
        </w:rPr>
        <w:t xml:space="preserve">Art. 10. </w:t>
      </w:r>
      <w:r>
        <w:t>Para a execução do Programa, poderão ser celebrados acordos de cooperação técnica e outros instrumentos congêneres com órgãos e entidades públicas, instituições de ensino, conselhos de políticas públicas e organizações da sociedade civil, observada a legislação aplicável.</w:t>
      </w:r>
    </w:p>
    <w:p>
      <w:pPr>
        <w:ind w:firstLine="709"/>
        <w:jc w:val="both"/>
      </w:pPr>
      <w:r>
        <w:rPr>
          <w:b/>
        </w:rPr>
        <w:t xml:space="preserve">Parágrafo único. </w:t>
      </w:r>
      <w:r>
        <w:t xml:space="preserve">É vedada parceria que implique custo para o participante, uso dos dados dos inscritos para fins diversos dos previstos neste </w:t>
      </w:r>
      <w:r>
        <w:rPr>
          <w:b/>
          <w:highlight w:val="yellow"/>
        </w:rPr>
        <w:t>[ato]</w:t>
      </w:r>
      <w:r>
        <w:t>, vínculo partidário ou promoção pessoal.</w:t>
      </w:r>
    </w:p>
    <w:p>
      <w:pPr>
        <w:ind w:firstLine="709"/>
        <w:jc w:val="both"/>
      </w:pPr>
      <w:r>
        <w:rPr>
          <w:b/>
        </w:rPr>
        <w:t xml:space="preserve">Art. 11. </w:t>
      </w:r>
      <w:r>
        <w:t xml:space="preserve">Será conferido certificado, emitido pelo(a) </w:t>
      </w:r>
      <w:r>
        <w:rPr>
          <w:b/>
          <w:highlight w:val="yellow"/>
        </w:rPr>
        <w:t>[órgão/ente]</w:t>
      </w:r>
      <w:r>
        <w:t xml:space="preserve">, ao participante que cumprir os requisitos de conclusão do curso, incluída a ação real de controle social, e, nas turmas presenciais, a frequência mínima de </w:t>
      </w:r>
      <w:r>
        <w:rPr>
          <w:b/>
          <w:highlight w:val="yellow"/>
        </w:rPr>
        <w:t>[percentual]</w:t>
      </w:r>
      <w:r>
        <w:t xml:space="preserve"> por cento.</w:t>
      </w:r>
    </w:p>
    <w:p>
      <w:pPr>
        <w:ind w:firstLine="709"/>
        <w:jc w:val="both"/>
      </w:pPr>
      <w:r>
        <w:rPr>
          <w:b/>
        </w:rPr>
        <w:t xml:space="preserve">§ 1º </w:t>
      </w:r>
      <w:r>
        <w:t>O certificado indicará o nome do participante, o curso, a carga horária, o período e um código de verificação, sem imagens, nomes ou assinaturas que caracterizem promoção pessoal.</w:t>
      </w:r>
    </w:p>
    <w:p>
      <w:pPr>
        <w:ind w:firstLine="709"/>
        <w:jc w:val="both"/>
      </w:pPr>
      <w:r>
        <w:rPr>
          <w:b/>
        </w:rPr>
        <w:t xml:space="preserve">§ 2º </w:t>
      </w:r>
      <w:r>
        <w:t>Os multiplicadores receberão certificado próprio pelas turmas que conduzirem.</w:t>
      </w:r>
    </w:p>
    <w:p>
      <w:pPr>
        <w:keepNext/>
        <w:spacing w:after="0" w:before="240"/>
        <w:jc w:val="center"/>
      </w:pPr>
      <w:r>
        <w:rPr>
          <w:b/>
        </w:rPr>
        <w:t>CAPÍTULO IV</w:t>
      </w:r>
    </w:p>
    <w:p>
      <w:pPr>
        <w:keepNext/>
        <w:spacing w:after="160" w:before="0"/>
        <w:jc w:val="center"/>
      </w:pPr>
      <w:r>
        <w:rPr>
          <w:b/>
        </w:rPr>
        <w:t>DA PROTEÇÃO DE DADOS, DOS INDICADORES E DA TRANSPARÊNCIA</w:t>
      </w:r>
    </w:p>
    <w:p>
      <w:pPr>
        <w:ind w:firstLine="709"/>
        <w:jc w:val="both"/>
      </w:pPr>
      <w:r>
        <w:rPr>
          <w:b/>
        </w:rPr>
        <w:t xml:space="preserve">Art. 12. </w:t>
      </w:r>
      <w:r>
        <w:t>O tratamento de dados pessoais dos participantes observará a Lei nº 13.709, de 14 de agosto de 2018, e se limitará ao mínimo necessário para a inscrição, a comunicação com o participante, a emissão do certificado e a produção de indicadores agregados.</w:t>
      </w:r>
    </w:p>
    <w:p>
      <w:pPr>
        <w:ind w:firstLine="709"/>
        <w:jc w:val="both"/>
      </w:pPr>
      <w:r>
        <w:rPr>
          <w:b/>
        </w:rPr>
        <w:t xml:space="preserve">§ 1º </w:t>
      </w:r>
      <w:r>
        <w:t xml:space="preserve">Os participantes serão informados, no ato da inscrição, sobre a finalidade do tratamento, o prazo de guarda de </w:t>
      </w:r>
      <w:r>
        <w:rPr>
          <w:b/>
          <w:highlight w:val="yellow"/>
        </w:rPr>
        <w:t>[prazo]</w:t>
      </w:r>
      <w:r>
        <w:t xml:space="preserve"> e o canal do encarregado pelo tratamento de dados pessoais.</w:t>
      </w:r>
    </w:p>
    <w:p>
      <w:pPr>
        <w:ind w:firstLine="709"/>
        <w:jc w:val="both"/>
      </w:pPr>
      <w:r>
        <w:rPr>
          <w:b/>
        </w:rPr>
        <w:t xml:space="preserve">§ 2º </w:t>
      </w:r>
      <w:r>
        <w:t>O tratamento de dados de crianças e adolescentes observará o art. 14 da Lei nº 13.709, de 2018.</w:t>
      </w:r>
    </w:p>
    <w:p>
      <w:pPr>
        <w:ind w:firstLine="709"/>
        <w:jc w:val="both"/>
      </w:pPr>
      <w:r>
        <w:rPr>
          <w:b/>
        </w:rPr>
        <w:t xml:space="preserve">§ 3º </w:t>
      </w:r>
      <w:r>
        <w:t>É vedado o uso dos dados dos participantes para comunicação de caráter político-partidário, comercial ou para qualquer finalidade estranha ao Programa.</w:t>
      </w:r>
    </w:p>
    <w:p>
      <w:pPr>
        <w:ind w:firstLine="709"/>
        <w:jc w:val="both"/>
      </w:pPr>
      <w:r>
        <w:rPr>
          <w:b/>
        </w:rPr>
        <w:t xml:space="preserve">Art. 13. </w:t>
      </w:r>
      <w:r>
        <w:t xml:space="preserve">A unidade coordenadora acompanhará os indicadores do Programa e publicará, até </w:t>
      </w:r>
      <w:r>
        <w:rPr>
          <w:b/>
          <w:highlight w:val="yellow"/>
        </w:rPr>
        <w:t>[mês]</w:t>
      </w:r>
      <w:r>
        <w:t xml:space="preserve"> de cada ano, no portal da transparência do(a) </w:t>
      </w:r>
      <w:r>
        <w:rPr>
          <w:b/>
          <w:highlight w:val="yellow"/>
        </w:rPr>
        <w:t>[órgão/ente]</w:t>
      </w:r>
      <w:r>
        <w:t>, relatório anual em linguagem simples, com metas, resultados, públicos atendidos e parcerias do ano anterior.</w:t>
      </w:r>
    </w:p>
    <w:p>
      <w:pPr>
        <w:ind w:firstLine="709"/>
        <w:jc w:val="both"/>
      </w:pPr>
      <w:r>
        <w:rPr>
          <w:b/>
        </w:rPr>
        <w:t xml:space="preserve">Parágrafo único. </w:t>
      </w:r>
      <w:r>
        <w:t>Os resultados serão divulgados apenas em números agregados, sem identificação dos participantes.</w:t>
      </w:r>
    </w:p>
    <w:p>
      <w:pPr>
        <w:ind w:firstLine="709"/>
        <w:jc w:val="both"/>
      </w:pPr>
      <w:r>
        <w:rPr>
          <w:b/>
        </w:rPr>
        <w:t xml:space="preserve">Art. 14. </w:t>
      </w:r>
      <w:r>
        <w:t>É vedada a utilização do Programa, de seus materiais, eventos, certificados e canais de divulgação para promoção pessoal de autoridades ou servidores públicos, nos termos do art. 37, § 1º, da Constituição Federal, observadas ainda as restrições da legislação eleitoral.</w:t>
      </w:r>
    </w:p>
    <w:p>
      <w:pPr>
        <w:keepNext/>
        <w:spacing w:after="0" w:before="240"/>
        <w:jc w:val="center"/>
      </w:pPr>
      <w:r>
        <w:rPr>
          <w:b/>
        </w:rPr>
        <w:t>CAPÍTULO V</w:t>
      </w:r>
    </w:p>
    <w:p>
      <w:pPr>
        <w:keepNext/>
        <w:spacing w:after="160" w:before="0"/>
        <w:jc w:val="center"/>
      </w:pPr>
      <w:r>
        <w:rPr>
          <w:b/>
        </w:rPr>
        <w:t>DISPOSIÇÕES FINAIS</w:t>
      </w:r>
    </w:p>
    <w:p>
      <w:pPr>
        <w:ind w:firstLine="709"/>
        <w:jc w:val="both"/>
      </w:pPr>
      <w:r>
        <w:rPr>
          <w:b/>
        </w:rPr>
        <w:t xml:space="preserve">Art. 15. </w:t>
      </w:r>
      <w:r>
        <w:t xml:space="preserve">As despesas decorrentes deste </w:t>
      </w:r>
      <w:r>
        <w:rPr>
          <w:b/>
          <w:highlight w:val="yellow"/>
        </w:rPr>
        <w:t>[ato]</w:t>
      </w:r>
      <w:r>
        <w:t xml:space="preserve"> correrão à conta das dotações orçamentárias próprias do(a) </w:t>
      </w:r>
      <w:r>
        <w:rPr>
          <w:b/>
          <w:highlight w:val="yellow"/>
        </w:rPr>
        <w:t>[órgão/ente / unidade coordenadora]</w:t>
      </w:r>
      <w:r>
        <w:t>.</w:t>
      </w:r>
    </w:p>
    <w:p>
      <w:pPr>
        <w:ind w:firstLine="709"/>
        <w:jc w:val="both"/>
      </w:pPr>
      <w:r>
        <w:rPr>
          <w:b/>
        </w:rPr>
        <w:t xml:space="preserve">Art. 16. </w:t>
      </w:r>
      <w:r>
        <w:t xml:space="preserve">A unidade coordenadora poderá expedir normas complementares para a execução do Programa, inclusive sobre o plano anual, o calendário, as inscrições e a certificação, no prazo de </w:t>
      </w:r>
      <w:r>
        <w:rPr>
          <w:b/>
          <w:highlight w:val="yellow"/>
        </w:rPr>
        <w:t>[número]</w:t>
      </w:r>
      <w:r>
        <w:t xml:space="preserve"> dias.</w:t>
      </w:r>
    </w:p>
    <w:p>
      <w:pPr>
        <w:keepNext/>
        <w:ind w:firstLine="709"/>
        <w:jc w:val="both"/>
      </w:pPr>
      <w:r>
        <w:rPr>
          <w:b/>
        </w:rPr>
        <w:t xml:space="preserve">Art. 17. </w:t>
      </w:r>
      <w:r>
        <w:t xml:space="preserve">Este </w:t>
      </w:r>
      <w:r>
        <w:rPr>
          <w:b/>
          <w:highlight w:val="yellow"/>
        </w:rPr>
        <w:t>[Decreto / Portaria / Resolução]</w:t>
      </w:r>
      <w:r>
        <w:t xml:space="preserve"> entra em vigor na data de sua publicação.</w:t>
      </w:r>
    </w:p>
    <w:p>
      <w:pPr>
        <w:keepNext/>
        <w:spacing w:after="480" w:before="240"/>
        <w:jc w:val="center"/>
      </w:pPr>
      <w:r>
        <w:rPr>
          <w:b/>
          <w:highlight w:val="yellow"/>
        </w:rPr>
        <w:t>[Local]</w:t>
      </w:r>
      <w:r>
        <w:t xml:space="preserve">, </w:t>
      </w:r>
      <w:r>
        <w:rPr>
          <w:b/>
          <w:highlight w:val="yellow"/>
        </w:rPr>
        <w:t>[dia]</w:t>
      </w:r>
      <w:r>
        <w:t xml:space="preserve"> de </w:t>
      </w:r>
      <w:r>
        <w:rPr>
          <w:b/>
          <w:highlight w:val="yellow"/>
        </w:rPr>
        <w:t>[mês]</w:t>
      </w:r>
      <w:r>
        <w:t xml:space="preserve"> de </w:t>
      </w:r>
      <w:r>
        <w:rPr>
          <w:b/>
          <w:highlight w:val="yellow"/>
        </w:rPr>
        <w:t>[ano]</w:t>
      </w:r>
      <w:r>
        <w:t>.</w:t>
      </w:r>
    </w:p>
    <w:p>
      <w:pPr>
        <w:keepNext/>
        <w:spacing w:after="0"/>
        <w:jc w:val="center"/>
      </w:pPr>
      <w:r>
        <w:rPr>
          <w:b/>
          <w:highlight w:val="yellow"/>
        </w:rPr>
        <w:t>[NOME DA AUTORIDADE]</w:t>
      </w:r>
    </w:p>
    <w:p>
      <w:pPr>
        <w:jc w:val="center"/>
      </w:pPr>
      <w:r>
        <w:rPr>
          <w:b/>
          <w:highlight w:val="yellow"/>
        </w:rPr>
        <w:t>[Cargo]</w:t>
      </w: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color w:val="6E6E6E"/>
        <w:sz w:val="16"/>
      </w:rPr>
      <w:t>Kit para os órgãos · Clube do Servidor · Academia do Cidadão · www.clubedoservidor.com.br</w:t>
    </w:r>
  </w:p>
  <w:p>
    <w:pPr>
      <w:jc w:val="center"/>
    </w:pPr>
    <w:r>
      <w:rPr>
        <w:color w:val="6E6E6E"/>
        <w:sz w:val="16"/>
      </w:rPr>
      <w:t xml:space="preserve">Página </w:t>
    </w:r>
    <w:fldSimple w:instr="PAGE">
      <w:r>
        <w:rPr>
          <w:sz w:val="16"/>
        </w:rPr>
        <w:t>1</w:t>
      </w:r>
    </w:fldSimple>
    <w:r>
      <w:rPr>
        <w:color w:val="6E6E6E"/>
        <w:sz w:val="16"/>
      </w:rPr>
      <w:t xml:space="preserve"> de </w:t>
    </w:r>
    <w:fldSimple w:instr="NUMPAGES">
      <w:r>
        <w:rPr>
          <w:sz w:val="16"/>
        </w:rPr>
        <w:t>1</w:t>
      </w:r>
    </w:fldSimple>
  </w:p>
  <w:p>
    <w:pPr>
      <w:jc w:val="center"/>
    </w:pPr>
    <w:r>
      <w:rPr>
        <w:i/>
        <w:color w:val="6E6E6E"/>
        <w:sz w:val="16"/>
      </w:rPr>
      <w:t>Modelo para adaptação à legislação do órgão. Revisar com a assessoria jurídica antes de publicar.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1F3864"/>
        <w:sz w:val="18"/>
      </w:rPr>
      <w:t>Minuta de ato normativo</w:t>
    </w:r>
    <w:r>
      <w:rPr>
        <w:color w:val="6E6E6E"/>
        <w:sz w:val="18"/>
      </w:rPr>
      <w:t xml:space="preserve">  ·  Kit para os órgãos · Academia do Cidadão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s="Arial"/>
      <w:sz w:val="22"/>
      <w:lang w:val="pt-BR" w:eastAsia="pt-B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Arial" w:hAnsi="Arial" w:eastAsia="Arial" w:cs="Arial"/>
      <w:b/>
      <w:bCs/>
      <w:i w:val="0"/>
      <w:color w:val="1F3864"/>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cs="Arial"/>
      <w:b/>
      <w:bCs/>
      <w:i w:val="0"/>
      <w:color w:val="1F3864"/>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eastAsia="Arial" w:cs="Arial"/>
      <w:b/>
      <w:bCs/>
      <w:i w:val="0"/>
      <w:color w:val="1F386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Minuta de ato normativo</dc:title>
  <dc:subject>Minuta de decreto, portaria ou resolução que institui um programa de capacitação cidadã para o controle social</dc:subject>
  <dc:creator>Clube do Servidor · Academia do Cidadão</dc:creator>
  <cp:keywords>minuta; ato normativo; decreto; portaria; resolução; controle social; capacitação cidadã</cp:keywords>
  <dc:description>Peça do kit para os órgãos da Academia do Cidadão (Clube do Servidor). Versão de outubro de 2026.</dc:description>
  <cp:lastModifiedBy/>
  <cp:revision>1</cp:revision>
  <dcterms:created xsi:type="dcterms:W3CDTF">2013-12-23T23:15:00Z</dcterms:created>
  <dcterms:modified xsi:type="dcterms:W3CDTF">2013-12-23T23:15:00Z</dcterms:modified>
  <cp:category/>
  <dc:language>pt-BR</dc:language>
</cp:coreProperties>
</file>